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spacing w:after="0" w:afterAutospacing="0" w:line="240" w:lineRule="auto"/>
        <w:rPr>
          <w:rFonts w:ascii="Times New Roman" w:hAnsi="Times New Roman" w:cs="Times New Roman"/>
          <w:bCs/>
          <w:i/>
          <w:sz w:val="28"/>
          <w:szCs w:val="28"/>
          <w:highlight w:val="none"/>
        </w:rPr>
      </w:pPr>
      <w:r>
        <w:rPr>
          <w:rFonts w:ascii="Times New Roman" w:hAnsi="Times New Roman" w:cs="Times New Roman"/>
          <w:i/>
          <w:iCs/>
          <w:sz w:val="28"/>
          <w:szCs w:val="28"/>
          <w:highlight w:val="none"/>
        </w:rPr>
        <w:t xml:space="preserve">Доклад </w:t>
      </w:r>
      <w:r>
        <w:rPr>
          <w:rFonts w:ascii="Times New Roman" w:hAnsi="Times New Roman" w:cs="Times New Roman"/>
          <w:bCs/>
          <w:i/>
          <w:sz w:val="28"/>
          <w:szCs w:val="28"/>
          <w:highlight w:val="none"/>
        </w:rPr>
      </w:r>
      <w:r>
        <w:rPr>
          <w:rFonts w:ascii="Times New Roman" w:hAnsi="Times New Roman" w:cs="Times New Roman"/>
          <w:bCs/>
          <w:i/>
          <w:sz w:val="28"/>
          <w:szCs w:val="28"/>
          <w:highlight w:val="none"/>
        </w:rPr>
      </w:r>
    </w:p>
    <w:p>
      <w:pPr>
        <w:jc w:val="right"/>
        <w:spacing w:after="0" w:afterAutospacing="0" w:line="240" w:lineRule="auto"/>
        <w:rPr>
          <w:rFonts w:ascii="Times New Roman" w:hAnsi="Times New Roman" w:cs="Times New Roman"/>
          <w:bCs/>
          <w:i/>
          <w:sz w:val="28"/>
          <w:szCs w:val="28"/>
          <w:highlight w:val="none"/>
        </w:rPr>
      </w:pPr>
      <w:r>
        <w:rPr>
          <w:rFonts w:ascii="Times New Roman" w:hAnsi="Times New Roman" w:cs="Times New Roman"/>
          <w:i/>
          <w:iCs/>
          <w:sz w:val="28"/>
          <w:szCs w:val="28"/>
          <w:highlight w:val="none"/>
        </w:rPr>
        <w:t xml:space="preserve">главного специалиста-эксперта </w:t>
      </w:r>
      <w:r>
        <w:rPr>
          <w:rFonts w:ascii="Times New Roman" w:hAnsi="Times New Roman" w:cs="Times New Roman"/>
          <w:bCs/>
          <w:i/>
          <w:sz w:val="28"/>
          <w:szCs w:val="28"/>
          <w:highlight w:val="none"/>
        </w:rPr>
      </w:r>
    </w:p>
    <w:p>
      <w:pPr>
        <w:jc w:val="right"/>
        <w:spacing w:after="0" w:afterAutospacing="0" w:line="240" w:lineRule="auto"/>
        <w:rPr>
          <w:rFonts w:ascii="Times New Roman" w:hAnsi="Times New Roman" w:cs="Times New Roman"/>
          <w:bCs/>
          <w:i/>
          <w:sz w:val="28"/>
          <w:szCs w:val="28"/>
          <w:highlight w:val="none"/>
        </w:rPr>
      </w:pPr>
      <w:r>
        <w:rPr>
          <w:rFonts w:ascii="Times New Roman" w:hAnsi="Times New Roman" w:cs="Times New Roman"/>
          <w:i/>
          <w:iCs/>
          <w:sz w:val="28"/>
          <w:szCs w:val="28"/>
          <w:highlight w:val="none"/>
        </w:rPr>
        <w:t xml:space="preserve"> отдела правового обеспечения </w:t>
      </w:r>
      <w:r>
        <w:rPr>
          <w:rFonts w:ascii="Times New Roman" w:hAnsi="Times New Roman" w:cs="Times New Roman"/>
          <w:bCs/>
          <w:i/>
          <w:sz w:val="28"/>
          <w:szCs w:val="28"/>
          <w:highlight w:val="none"/>
        </w:rPr>
      </w:r>
      <w:r/>
    </w:p>
    <w:p>
      <w:pPr>
        <w:jc w:val="right"/>
        <w:spacing w:after="0" w:afterAutospacing="0" w:line="240" w:lineRule="auto"/>
        <w:rPr>
          <w:rFonts w:ascii="Times New Roman" w:hAnsi="Times New Roman" w:cs="Times New Roman"/>
          <w:bCs/>
          <w:i/>
          <w:sz w:val="28"/>
          <w:szCs w:val="28"/>
          <w:highlight w:val="none"/>
        </w:rPr>
      </w:pPr>
      <w:r>
        <w:rPr>
          <w:rFonts w:ascii="Times New Roman" w:hAnsi="Times New Roman" w:cs="Times New Roman"/>
          <w:i/>
          <w:iCs/>
          <w:sz w:val="28"/>
          <w:szCs w:val="28"/>
          <w:highlight w:val="none"/>
        </w:rPr>
        <w:t xml:space="preserve">Управления Росреестра по Алтайскому краю</w:t>
      </w:r>
      <w:r>
        <w:rPr>
          <w:rFonts w:ascii="Times New Roman" w:hAnsi="Times New Roman" w:cs="Times New Roman"/>
          <w:bCs/>
          <w:i/>
          <w:sz w:val="28"/>
          <w:szCs w:val="28"/>
          <w:highlight w:val="none"/>
        </w:rPr>
      </w:r>
      <w:r>
        <w:rPr>
          <w:rFonts w:ascii="Times New Roman" w:hAnsi="Times New Roman" w:cs="Times New Roman"/>
          <w:bCs/>
          <w:i/>
          <w:sz w:val="28"/>
          <w:szCs w:val="28"/>
          <w:highlight w:val="none"/>
        </w:rPr>
      </w:r>
    </w:p>
    <w:p>
      <w:pPr>
        <w:jc w:val="right"/>
        <w:spacing w:after="0" w:afterAutospacing="0" w:line="240" w:lineRule="auto"/>
        <w:rPr>
          <w:rFonts w:ascii="Times New Roman" w:hAnsi="Times New Roman" w:cs="Times New Roman"/>
          <w:bCs/>
          <w:i/>
          <w:sz w:val="28"/>
          <w:szCs w:val="28"/>
          <w:highlight w:val="none"/>
        </w:rPr>
      </w:pPr>
      <w:r>
        <w:rPr>
          <w:rFonts w:ascii="Times New Roman" w:hAnsi="Times New Roman" w:cs="Times New Roman"/>
          <w:i/>
          <w:iCs/>
          <w:sz w:val="28"/>
          <w:szCs w:val="28"/>
          <w:highlight w:val="none"/>
        </w:rPr>
      </w:r>
      <w:r>
        <w:rPr>
          <w:rFonts w:ascii="Times New Roman" w:hAnsi="Times New Roman" w:cs="Times New Roman"/>
          <w:bCs/>
          <w:i/>
          <w:sz w:val="28"/>
          <w:szCs w:val="28"/>
          <w:highlight w:val="none"/>
        </w:rPr>
      </w:r>
      <w:r>
        <w:rPr>
          <w:rFonts w:ascii="Times New Roman" w:hAnsi="Times New Roman" w:cs="Times New Roman"/>
          <w:bCs/>
          <w:i/>
          <w:sz w:val="28"/>
          <w:szCs w:val="28"/>
          <w:highlight w:val="none"/>
        </w:rPr>
      </w:r>
    </w:p>
    <w:p>
      <w:pPr>
        <w:jc w:val="right"/>
        <w:spacing w:after="0" w:afterAutospacing="0" w:line="240" w:lineRule="auto"/>
        <w:rPr>
          <w:rFonts w:ascii="Times New Roman" w:hAnsi="Times New Roman" w:cs="Times New Roman"/>
          <w:bCs/>
          <w:i/>
          <w:sz w:val="28"/>
          <w:szCs w:val="28"/>
          <w:highlight w:val="none"/>
        </w:rPr>
      </w:pPr>
      <w:r>
        <w:rPr>
          <w:rFonts w:ascii="Times New Roman" w:hAnsi="Times New Roman" w:cs="Times New Roman"/>
          <w:i/>
          <w:iCs/>
          <w:sz w:val="28"/>
          <w:szCs w:val="28"/>
          <w:highlight w:val="none"/>
        </w:rPr>
        <w:t xml:space="preserve"> Ивановой В.О.</w:t>
      </w:r>
      <w:r>
        <w:rPr>
          <w:rFonts w:ascii="Times New Roman" w:hAnsi="Times New Roman" w:cs="Times New Roman"/>
          <w:bCs/>
          <w:i/>
          <w:sz w:val="28"/>
          <w:szCs w:val="28"/>
          <w:highlight w:val="none"/>
        </w:rPr>
      </w:r>
    </w:p>
    <w:p>
      <w:pPr>
        <w:jc w:val="center"/>
        <w:spacing w:after="0" w:afterAutospacing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sz w:val="28"/>
          <w:szCs w:val="28"/>
          <w:highlight w:val="none"/>
        </w:rPr>
      </w: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ДОКЛАД 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доклада: о нарушениях, допущенных кадастровыми инженерами при осуществлении кадастровых работ</w:t>
      </w:r>
      <w:r>
        <w:rPr>
          <w:rFonts w:ascii="Times New Roman" w:hAnsi="Times New Roman" w:cs="Times New Roman"/>
          <w:b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1. В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орган регистрации прав поступили заявления об учете изменений объекта недвижимости – земельного участка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 приложением межевого плана, подготовленного кадастровым инженером. Межевой план подготовлен                     в результате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выполнения кадастровых работ в связи с уточнением описания местоположения границ и (или) площади земельного участка                                        и одновременным ут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очнением (изменением)  части границы смежных земельных участков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 целью исправления ошибки в описании местоположения их границ и (или) площади. 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0" w:right="0"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Согласно представленному межевому плану один из земельных участков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уточняется как смежный, в следствие чего, его площадь уменьшается с 129 кв.м. до 17 кв.м., что противоречит нормам п. 42 ч. 1 ст. 26 Закона № 218-ФЗ (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площадь земельного участка, определенная с учетом установленных в соответствии с федеральным законом требований, отличается от площади земельного участка, указанной в соответствующем утвержденном проекте межевания территории, схеме расположения земельного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участка на кадастровом плане территории, проектной документации лесных участков, более чем на десять процентов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).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0" w:right="0"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Кадастровый инженер в заключении к межевому плану указывает о наличии реестровой ошибки в сведени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ях о координатах и площади смежного земельного участка. Согласно сведений ЕГРН данный смежный земельный участок площадью 129 кв.м,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поставлен на государственный кадастровый учет на основании схемы расположения земельного участка, утвержденной Приказом МКУ "УМИ Администрации города Бийска"от 06.06.2023, включенной в состав межевого пла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на, подготовленного другим кадастровым инженером.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0" w:right="0"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 соответствии ч. 15 ст. 11.10 Земельного Кодекса Российской Федерации срок действия решения об утверждении схемы расположения земельного учас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тка составляет два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года. При эт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ом, решения органа власти об отмене ранее утвержденной схемы в орган регистрации прав не поступало.             В связи с вышеизложенным, внесение сведений в ЕГРН по представленному межевому плану государственному регистратору не представилось возможным. 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0" w:right="0"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Для устранения причин приостановления, государственный регистратор рекомендовал заявителям  обратится в орган местного самоуправления по вопросу внесения изменений в схему расположения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вышеуказанного смежного земельного участка.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contextualSpacing w:val="0"/>
        <w:ind w:left="0" w:right="0" w:firstLine="709"/>
        <w:jc w:val="both"/>
        <w:keepLines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2.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Также  отметим следующие нарушения,  </w:t>
      </w:r>
      <w:r>
        <w:rPr>
          <w:rFonts w:ascii="Times New Roman" w:hAnsi="Times New Roman" w:eastAsia="Times New Roman" w:cs="Times New Roman"/>
          <w:color w:val="232629"/>
          <w:sz w:val="28"/>
          <w:szCs w:val="28"/>
          <w:highlight w:val="white"/>
          <w:u w:val="none"/>
        </w:rPr>
        <w:t xml:space="preserve">допускаемые кадастровыми инженерами  при подготовке технической документации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contextualSpacing w:val="0"/>
        <w:ind w:left="0" w:right="0" w:firstLine="709"/>
        <w:jc w:val="both"/>
        <w:keepLines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В результате анализа пакетов документов в рамках «Единого окна»                   по техническим планам существуют постоянные ошибки кадастровых инженеров, а именно: 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contextualSpacing w:val="0"/>
        <w:ind w:left="0" w:right="0" w:firstLine="709"/>
        <w:jc w:val="both"/>
        <w:keepLines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При составлении декларации в соответствии с Приказом Росреестра от 04 марта 2022 года №П/0072 допускаются ошибки: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contextualSpacing w:val="0"/>
        <w:ind w:left="0" w:right="0" w:firstLine="709"/>
        <w:jc w:val="both"/>
        <w:keepLines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В нарушение п.11 Приказа в строке «Назначение здания» указывается одно из предусмотренных пунктом 9 части 5 статьи 8 Федерального закона №218-ФЗ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нежилое, многоквартирный дом, жилой дом, садовый дом, гараж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. Вместо жилой дом указывают жилое, вместо гараж, или садовый дом-нежилое. 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contextualSpacing w:val="0"/>
        <w:ind w:left="0" w:right="0" w:firstLine="709"/>
        <w:jc w:val="both"/>
        <w:keepLines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В нарушение п.16 Приказа в строке указывают наименование объекта недвижимости (Жилой дом, гараж и т.д.). Согласно части 18 ст 70 Федерального закона №218-ФЗ ТОЛЬКО в 3-х случаях указывается наименование объекта: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39"/>
        <w:numPr>
          <w:ilvl w:val="0"/>
          <w:numId w:val="2"/>
        </w:numPr>
        <w:contextualSpacing w:val="0"/>
        <w:ind w:left="0" w:right="0" w:firstLine="709"/>
        <w:jc w:val="both"/>
        <w:keepLines/>
        <w:spacing w:before="0" w:after="0" w:line="240" w:lineRule="auto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здания или сооружения в соответствии со сведениями о наименовании, содержащимися в разрешении на ввод объекта в эксплуатацию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9"/>
        <w:numPr>
          <w:ilvl w:val="0"/>
          <w:numId w:val="2"/>
        </w:numPr>
        <w:contextualSpacing w:val="0"/>
        <w:ind w:left="0" w:right="0" w:firstLine="709"/>
        <w:jc w:val="both"/>
        <w:keepLines/>
        <w:spacing w:before="0" w:after="0" w:line="240" w:lineRule="auto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здания или сооружения в соответствии со сведениями о наименовании, содержащимися в едином государственном реестре объектов культурного наследия (памятников истории и культуры) народов Российской Федерации, если такое здание или такое сооружение является об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ъектом культурного наследия и включено в указанный реестр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9"/>
        <w:numPr>
          <w:ilvl w:val="0"/>
          <w:numId w:val="2"/>
        </w:numPr>
        <w:contextualSpacing w:val="0"/>
        <w:ind w:left="0" w:right="0" w:firstLine="709"/>
        <w:jc w:val="both"/>
        <w:keepLines/>
        <w:spacing w:before="0" w:after="0" w:line="240" w:lineRule="auto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автомобильной дороги общего пользования в соответствии со сведениями о наименовании, содержащимися в системе контроля за формированием и использованием средств дорожных фондов, если соответствующее сооружение является составной частью автомобильной дороги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общего пользования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 w:val="0"/>
        <w:ind w:left="0" w:right="0" w:firstLine="709"/>
        <w:jc w:val="both"/>
        <w:keepLines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В иных случаях наименование объекта НЕ УКАЗЫВАЕТСЯ.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contextualSpacing w:val="0"/>
        <w:ind w:left="0" w:right="0" w:firstLine="709"/>
        <w:jc w:val="both"/>
        <w:keepLines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В нарушение п.17 Приказа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В </w:t>
      </w:r>
      <w:hyperlink r:id="rId12" w:tooltip="https://www.consultant.ru/document/cons_doc_LAW_480987/3a59a39e14eabf81c02ff86382a21810f46ad7d1/#dst100040" w:history="1">
        <w:r>
          <w:rPr>
            <w:rStyle w:val="817"/>
            <w:rFonts w:ascii="Times New Roman" w:hAnsi="Times New Roman" w:eastAsia="Times New Roman" w:cs="Times New Roman"/>
            <w:color w:val="1a0dab"/>
            <w:sz w:val="28"/>
            <w:szCs w:val="28"/>
            <w:highlight w:val="white"/>
            <w:u w:val="single"/>
          </w:rPr>
          <w:t xml:space="preserve">строке</w:t>
        </w:r>
      </w:hyperlink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 "Вид (виды) разрешенного использования объекта недвижимости" указывается вид (виды) разрешенного использования здания, сооружения, помещения, в том числе выбранный (выбранные) из числа установленных градостроительным регламентом применительно к территориа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льной зоне, в границах которой расположен соответствующий объект недвижимости, с учетом ограничений использования земельного участка, установленных в соответствии с земельным и иным законодательством Российской Федерации.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Кадастровые инженеры как правило ничего не указывают.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В нарушение п.20 Приказа кадастровые инженеры в декларации указывают площадь объекта.  Согласно Приказа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у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казание сведений о площади здания осуществляется в случаях, если законодательством Российской Федерации предусмотрено осуществление государственного кадастрового учета и (или) государственной регистрации прав на такой объект недвижимости на основании Декл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арации </w:t>
        <w:br/>
      </w:r>
      <w:r>
        <w:rPr>
          <w:rFonts w:ascii="Times New Roman" w:hAnsi="Times New Roman" w:eastAsia="Times New Roman" w:cs="Times New Roman"/>
          <w:color w:val="ff0000"/>
          <w:sz w:val="28"/>
          <w:szCs w:val="28"/>
          <w:highlight w:val="white"/>
        </w:rPr>
        <w:t xml:space="preserve">без подготовки технического плана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contextualSpacing w:val="0"/>
        <w:ind w:left="0" w:right="0" w:firstLine="709"/>
        <w:jc w:val="both"/>
        <w:keepLines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То есть,  при подготовке технического плана на основании декларации площадь указывается только в самом тех.плане в соответствии с Приказом Росреестра № П/0082 от 15.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03.2022 «Об установлении  формы технического плана, требований к его подготовке и состава содержащихся в нем сведений».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right="0" w:firstLine="709"/>
        <w:jc w:val="both"/>
        <w:keepLines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Стоит отметить, что подготовка технического плана должна осуществляться на основ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ании декларации и в соответствии с Приказом от 15 марта 2022г. №П/0082. Из этого следует, что сведения указанные в декларации (такие как назначение, вид разрешенного использования) должны быть заполнены и в тех.плане (XML-схеме), а не только в декларации.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headerReference w:type="default" r:id="rId9"/>
      <w:headerReference w:type="first" r:id="rId10"/>
      <w:footerReference w:type="first" r:id="rId11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7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5"/>
      <w:jc w:val="center"/>
      <w:rPr>
        <w:rFonts w:ascii="Times New Roman" w:hAnsi="Times New Roman" w:cs="Times New Roman"/>
        <w:sz w:val="28"/>
        <w:szCs w:val="28"/>
      </w:rPr>
    </w:pPr>
    <w:fldSimple w:instr="PAGE \* MERGEFORMAT">
      <w:r>
        <w:rPr>
          <w:rFonts w:ascii="Times New Roman" w:hAnsi="Times New Roman" w:eastAsia="Times New Roman" w:cs="Times New Roman"/>
          <w:sz w:val="28"/>
          <w:szCs w:val="28"/>
        </w:rPr>
        <w:t xml:space="preserve">1</w:t>
      </w:r>
    </w:fldSimple>
    <w:r>
      <w:rPr>
        <w:rFonts w:ascii="Times New Roman" w:hAnsi="Times New Roman" w:eastAsia="Times New Roman" w:cs="Times New Roman"/>
        <w:sz w:val="28"/>
        <w:szCs w:val="28"/>
      </w:rPr>
    </w:r>
    <w:r>
      <w:rPr>
        <w:rFonts w:ascii="Times New Roman" w:hAnsi="Times New Roman" w:eastAsia="Times New Roman" w:cs="Times New Roman"/>
        <w:sz w:val="28"/>
        <w:szCs w:val="28"/>
      </w:rPr>
    </w:r>
  </w:p>
  <w:p>
    <w:pPr>
      <w:pStyle w:val="685"/>
    </w:pP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5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1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3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5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7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9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1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3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5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75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8">
    <w:name w:val="Heading 1"/>
    <w:basedOn w:val="835"/>
    <w:next w:val="835"/>
    <w:link w:val="65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9">
    <w:name w:val="Heading 1 Char"/>
    <w:basedOn w:val="836"/>
    <w:link w:val="658"/>
    <w:uiPriority w:val="9"/>
    <w:rPr>
      <w:rFonts w:ascii="Arial" w:hAnsi="Arial" w:eastAsia="Arial" w:cs="Arial"/>
      <w:sz w:val="40"/>
      <w:szCs w:val="40"/>
    </w:rPr>
  </w:style>
  <w:style w:type="paragraph" w:styleId="660">
    <w:name w:val="Heading 2"/>
    <w:basedOn w:val="835"/>
    <w:next w:val="835"/>
    <w:link w:val="66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1">
    <w:name w:val="Heading 2 Char"/>
    <w:basedOn w:val="836"/>
    <w:link w:val="660"/>
    <w:uiPriority w:val="9"/>
    <w:rPr>
      <w:rFonts w:ascii="Arial" w:hAnsi="Arial" w:eastAsia="Arial" w:cs="Arial"/>
      <w:sz w:val="34"/>
    </w:rPr>
  </w:style>
  <w:style w:type="paragraph" w:styleId="662">
    <w:name w:val="Heading 3"/>
    <w:basedOn w:val="835"/>
    <w:next w:val="835"/>
    <w:link w:val="66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3">
    <w:name w:val="Heading 3 Char"/>
    <w:basedOn w:val="836"/>
    <w:link w:val="662"/>
    <w:uiPriority w:val="9"/>
    <w:rPr>
      <w:rFonts w:ascii="Arial" w:hAnsi="Arial" w:eastAsia="Arial" w:cs="Arial"/>
      <w:sz w:val="30"/>
      <w:szCs w:val="30"/>
    </w:rPr>
  </w:style>
  <w:style w:type="paragraph" w:styleId="664">
    <w:name w:val="Heading 4"/>
    <w:basedOn w:val="835"/>
    <w:next w:val="835"/>
    <w:link w:val="66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5">
    <w:name w:val="Heading 4 Char"/>
    <w:basedOn w:val="836"/>
    <w:link w:val="664"/>
    <w:uiPriority w:val="9"/>
    <w:rPr>
      <w:rFonts w:ascii="Arial" w:hAnsi="Arial" w:eastAsia="Arial" w:cs="Arial"/>
      <w:b/>
      <w:bCs/>
      <w:sz w:val="26"/>
      <w:szCs w:val="26"/>
    </w:rPr>
  </w:style>
  <w:style w:type="paragraph" w:styleId="666">
    <w:name w:val="Heading 5"/>
    <w:basedOn w:val="835"/>
    <w:next w:val="835"/>
    <w:link w:val="66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7">
    <w:name w:val="Heading 5 Char"/>
    <w:basedOn w:val="836"/>
    <w:link w:val="666"/>
    <w:uiPriority w:val="9"/>
    <w:rPr>
      <w:rFonts w:ascii="Arial" w:hAnsi="Arial" w:eastAsia="Arial" w:cs="Arial"/>
      <w:b/>
      <w:bCs/>
      <w:sz w:val="24"/>
      <w:szCs w:val="24"/>
    </w:rPr>
  </w:style>
  <w:style w:type="paragraph" w:styleId="668">
    <w:name w:val="Heading 6"/>
    <w:basedOn w:val="835"/>
    <w:next w:val="835"/>
    <w:link w:val="66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9">
    <w:name w:val="Heading 6 Char"/>
    <w:basedOn w:val="836"/>
    <w:link w:val="668"/>
    <w:uiPriority w:val="9"/>
    <w:rPr>
      <w:rFonts w:ascii="Arial" w:hAnsi="Arial" w:eastAsia="Arial" w:cs="Arial"/>
      <w:b/>
      <w:bCs/>
      <w:sz w:val="22"/>
      <w:szCs w:val="22"/>
    </w:rPr>
  </w:style>
  <w:style w:type="paragraph" w:styleId="670">
    <w:name w:val="Heading 7"/>
    <w:basedOn w:val="835"/>
    <w:next w:val="835"/>
    <w:link w:val="67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1">
    <w:name w:val="Heading 7 Char"/>
    <w:basedOn w:val="836"/>
    <w:link w:val="67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2">
    <w:name w:val="Heading 8"/>
    <w:basedOn w:val="835"/>
    <w:next w:val="835"/>
    <w:link w:val="67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3">
    <w:name w:val="Heading 8 Char"/>
    <w:basedOn w:val="836"/>
    <w:link w:val="672"/>
    <w:uiPriority w:val="9"/>
    <w:rPr>
      <w:rFonts w:ascii="Arial" w:hAnsi="Arial" w:eastAsia="Arial" w:cs="Arial"/>
      <w:i/>
      <w:iCs/>
      <w:sz w:val="22"/>
      <w:szCs w:val="22"/>
    </w:rPr>
  </w:style>
  <w:style w:type="paragraph" w:styleId="674">
    <w:name w:val="Heading 9"/>
    <w:basedOn w:val="835"/>
    <w:next w:val="835"/>
    <w:link w:val="67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5">
    <w:name w:val="Heading 9 Char"/>
    <w:basedOn w:val="836"/>
    <w:link w:val="674"/>
    <w:uiPriority w:val="9"/>
    <w:rPr>
      <w:rFonts w:ascii="Arial" w:hAnsi="Arial" w:eastAsia="Arial" w:cs="Arial"/>
      <w:i/>
      <w:iCs/>
      <w:sz w:val="21"/>
      <w:szCs w:val="21"/>
    </w:rPr>
  </w:style>
  <w:style w:type="paragraph" w:styleId="676">
    <w:name w:val="No Spacing"/>
    <w:uiPriority w:val="1"/>
    <w:qFormat/>
    <w:pPr>
      <w:spacing w:before="0" w:after="0" w:line="240" w:lineRule="auto"/>
    </w:pPr>
  </w:style>
  <w:style w:type="paragraph" w:styleId="677">
    <w:name w:val="Title"/>
    <w:basedOn w:val="835"/>
    <w:next w:val="835"/>
    <w:link w:val="67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8">
    <w:name w:val="Title Char"/>
    <w:basedOn w:val="836"/>
    <w:link w:val="677"/>
    <w:uiPriority w:val="10"/>
    <w:rPr>
      <w:sz w:val="48"/>
      <w:szCs w:val="48"/>
    </w:rPr>
  </w:style>
  <w:style w:type="paragraph" w:styleId="679">
    <w:name w:val="Subtitle"/>
    <w:basedOn w:val="835"/>
    <w:next w:val="835"/>
    <w:link w:val="680"/>
    <w:uiPriority w:val="11"/>
    <w:qFormat/>
    <w:pPr>
      <w:spacing w:before="200" w:after="200"/>
    </w:pPr>
    <w:rPr>
      <w:sz w:val="24"/>
      <w:szCs w:val="24"/>
    </w:rPr>
  </w:style>
  <w:style w:type="character" w:styleId="680">
    <w:name w:val="Subtitle Char"/>
    <w:basedOn w:val="836"/>
    <w:link w:val="679"/>
    <w:uiPriority w:val="11"/>
    <w:rPr>
      <w:sz w:val="24"/>
      <w:szCs w:val="24"/>
    </w:rPr>
  </w:style>
  <w:style w:type="paragraph" w:styleId="681">
    <w:name w:val="Quote"/>
    <w:basedOn w:val="835"/>
    <w:next w:val="835"/>
    <w:link w:val="682"/>
    <w:uiPriority w:val="29"/>
    <w:qFormat/>
    <w:pPr>
      <w:ind w:left="720" w:right="720"/>
    </w:pPr>
    <w:rPr>
      <w:i/>
    </w:rPr>
  </w:style>
  <w:style w:type="character" w:styleId="682">
    <w:name w:val="Quote Char"/>
    <w:link w:val="681"/>
    <w:uiPriority w:val="29"/>
    <w:rPr>
      <w:i/>
    </w:rPr>
  </w:style>
  <w:style w:type="paragraph" w:styleId="683">
    <w:name w:val="Intense Quote"/>
    <w:basedOn w:val="835"/>
    <w:next w:val="835"/>
    <w:link w:val="68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4">
    <w:name w:val="Intense Quote Char"/>
    <w:link w:val="683"/>
    <w:uiPriority w:val="30"/>
    <w:rPr>
      <w:i/>
    </w:rPr>
  </w:style>
  <w:style w:type="paragraph" w:styleId="685">
    <w:name w:val="Header"/>
    <w:basedOn w:val="835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6">
    <w:name w:val="Header Char"/>
    <w:basedOn w:val="836"/>
    <w:link w:val="685"/>
    <w:uiPriority w:val="99"/>
  </w:style>
  <w:style w:type="paragraph" w:styleId="687">
    <w:name w:val="Footer"/>
    <w:basedOn w:val="835"/>
    <w:link w:val="69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8">
    <w:name w:val="Footer Char"/>
    <w:basedOn w:val="836"/>
    <w:link w:val="687"/>
    <w:uiPriority w:val="99"/>
  </w:style>
  <w:style w:type="paragraph" w:styleId="689">
    <w:name w:val="Caption"/>
    <w:basedOn w:val="835"/>
    <w:next w:val="83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0">
    <w:name w:val="Caption Char"/>
    <w:basedOn w:val="689"/>
    <w:link w:val="687"/>
    <w:uiPriority w:val="99"/>
  </w:style>
  <w:style w:type="table" w:styleId="691">
    <w:name w:val="Table Grid"/>
    <w:basedOn w:val="83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Table Grid Light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3">
    <w:name w:val="Plain Table 1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2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6">
    <w:name w:val="Plain Table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Plain Table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8">
    <w:name w:val="Grid Table 1 Light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4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0">
    <w:name w:val="Grid Table 4 - Accent 1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1">
    <w:name w:val="Grid Table 4 - Accent 2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2">
    <w:name w:val="Grid Table 4 - Accent 3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3">
    <w:name w:val="Grid Table 4 - Accent 4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4">
    <w:name w:val="Grid Table 4 - Accent 5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5">
    <w:name w:val="Grid Table 4 - Accent 6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6">
    <w:name w:val="Grid Table 5 Dark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0">
    <w:name w:val="Grid Table 5 Dark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3">
    <w:name w:val="Grid Table 6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4">
    <w:name w:val="Grid Table 6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5">
    <w:name w:val="Grid Table 6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6">
    <w:name w:val="Grid Table 6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7">
    <w:name w:val="Grid Table 6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8">
    <w:name w:val="Grid Table 6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6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0">
    <w:name w:val="Grid Table 7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5">
    <w:name w:val="List Table 2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6">
    <w:name w:val="List Table 2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7">
    <w:name w:val="List Table 2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8">
    <w:name w:val="List Table 2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9">
    <w:name w:val="List Table 2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0">
    <w:name w:val="List Table 2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1">
    <w:name w:val="List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5 Dark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6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3">
    <w:name w:val="List Table 6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4">
    <w:name w:val="List Table 6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5">
    <w:name w:val="List Table 6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6">
    <w:name w:val="List Table 6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7">
    <w:name w:val="List Table 6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8">
    <w:name w:val="List Table 6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9">
    <w:name w:val="List Table 7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0">
    <w:name w:val="List Table 7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1">
    <w:name w:val="List Table 7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2">
    <w:name w:val="List Table 7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3">
    <w:name w:val="List Table 7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4">
    <w:name w:val="List Table 7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5">
    <w:name w:val="List Table 7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6">
    <w:name w:val="Lined - Accent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7">
    <w:name w:val="Lined - Accent 1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8">
    <w:name w:val="Lined - Accent 2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9">
    <w:name w:val="Lined - Accent 3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0">
    <w:name w:val="Lined - Accent 4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1">
    <w:name w:val="Lined - Accent 5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2">
    <w:name w:val="Lined - Accent 6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3">
    <w:name w:val="Bordered &amp; Lined - Accent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4">
    <w:name w:val="Bordered &amp; Lined - Accent 1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5">
    <w:name w:val="Bordered &amp; Lined - Accent 2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6">
    <w:name w:val="Bordered &amp; Lined - Accent 3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7">
    <w:name w:val="Bordered &amp; Lined - Accent 4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8">
    <w:name w:val="Bordered &amp; Lined - Accent 5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9">
    <w:name w:val="Bordered &amp; Lined - Accent 6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0">
    <w:name w:val="Bordered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1">
    <w:name w:val="Bordered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2">
    <w:name w:val="Bordered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3">
    <w:name w:val="Bordered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4">
    <w:name w:val="Bordered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5">
    <w:name w:val="Bordered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6">
    <w:name w:val="Bordered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7">
    <w:name w:val="Hyperlink"/>
    <w:uiPriority w:val="99"/>
    <w:unhideWhenUsed/>
    <w:rPr>
      <w:color w:val="0000ff" w:themeColor="hyperlink"/>
      <w:u w:val="single"/>
    </w:rPr>
  </w:style>
  <w:style w:type="paragraph" w:styleId="818">
    <w:name w:val="footnote text"/>
    <w:basedOn w:val="835"/>
    <w:link w:val="819"/>
    <w:uiPriority w:val="99"/>
    <w:semiHidden/>
    <w:unhideWhenUsed/>
    <w:pPr>
      <w:spacing w:after="40" w:line="240" w:lineRule="auto"/>
    </w:pPr>
    <w:rPr>
      <w:sz w:val="18"/>
    </w:rPr>
  </w:style>
  <w:style w:type="character" w:styleId="819">
    <w:name w:val="Footnote Text Char"/>
    <w:link w:val="818"/>
    <w:uiPriority w:val="99"/>
    <w:rPr>
      <w:sz w:val="18"/>
    </w:rPr>
  </w:style>
  <w:style w:type="character" w:styleId="820">
    <w:name w:val="footnote reference"/>
    <w:basedOn w:val="836"/>
    <w:uiPriority w:val="99"/>
    <w:unhideWhenUsed/>
    <w:rPr>
      <w:vertAlign w:val="superscript"/>
    </w:rPr>
  </w:style>
  <w:style w:type="paragraph" w:styleId="821">
    <w:name w:val="endnote text"/>
    <w:basedOn w:val="835"/>
    <w:link w:val="822"/>
    <w:uiPriority w:val="99"/>
    <w:semiHidden/>
    <w:unhideWhenUsed/>
    <w:pPr>
      <w:spacing w:after="0" w:line="240" w:lineRule="auto"/>
    </w:pPr>
    <w:rPr>
      <w:sz w:val="20"/>
    </w:rPr>
  </w:style>
  <w:style w:type="character" w:styleId="822">
    <w:name w:val="Endnote Text Char"/>
    <w:link w:val="821"/>
    <w:uiPriority w:val="99"/>
    <w:rPr>
      <w:sz w:val="20"/>
    </w:rPr>
  </w:style>
  <w:style w:type="character" w:styleId="823">
    <w:name w:val="endnote reference"/>
    <w:basedOn w:val="836"/>
    <w:uiPriority w:val="99"/>
    <w:semiHidden/>
    <w:unhideWhenUsed/>
    <w:rPr>
      <w:vertAlign w:val="superscript"/>
    </w:rPr>
  </w:style>
  <w:style w:type="paragraph" w:styleId="824">
    <w:name w:val="toc 1"/>
    <w:basedOn w:val="835"/>
    <w:next w:val="835"/>
    <w:uiPriority w:val="39"/>
    <w:unhideWhenUsed/>
    <w:pPr>
      <w:ind w:left="0" w:right="0" w:firstLine="0"/>
      <w:spacing w:after="57"/>
    </w:pPr>
  </w:style>
  <w:style w:type="paragraph" w:styleId="825">
    <w:name w:val="toc 2"/>
    <w:basedOn w:val="835"/>
    <w:next w:val="835"/>
    <w:uiPriority w:val="39"/>
    <w:unhideWhenUsed/>
    <w:pPr>
      <w:ind w:left="283" w:right="0" w:firstLine="0"/>
      <w:spacing w:after="57"/>
    </w:pPr>
  </w:style>
  <w:style w:type="paragraph" w:styleId="826">
    <w:name w:val="toc 3"/>
    <w:basedOn w:val="835"/>
    <w:next w:val="835"/>
    <w:uiPriority w:val="39"/>
    <w:unhideWhenUsed/>
    <w:pPr>
      <w:ind w:left="567" w:right="0" w:firstLine="0"/>
      <w:spacing w:after="57"/>
    </w:pPr>
  </w:style>
  <w:style w:type="paragraph" w:styleId="827">
    <w:name w:val="toc 4"/>
    <w:basedOn w:val="835"/>
    <w:next w:val="835"/>
    <w:uiPriority w:val="39"/>
    <w:unhideWhenUsed/>
    <w:pPr>
      <w:ind w:left="850" w:right="0" w:firstLine="0"/>
      <w:spacing w:after="57"/>
    </w:pPr>
  </w:style>
  <w:style w:type="paragraph" w:styleId="828">
    <w:name w:val="toc 5"/>
    <w:basedOn w:val="835"/>
    <w:next w:val="835"/>
    <w:uiPriority w:val="39"/>
    <w:unhideWhenUsed/>
    <w:pPr>
      <w:ind w:left="1134" w:right="0" w:firstLine="0"/>
      <w:spacing w:after="57"/>
    </w:pPr>
  </w:style>
  <w:style w:type="paragraph" w:styleId="829">
    <w:name w:val="toc 6"/>
    <w:basedOn w:val="835"/>
    <w:next w:val="835"/>
    <w:uiPriority w:val="39"/>
    <w:unhideWhenUsed/>
    <w:pPr>
      <w:ind w:left="1417" w:right="0" w:firstLine="0"/>
      <w:spacing w:after="57"/>
    </w:pPr>
  </w:style>
  <w:style w:type="paragraph" w:styleId="830">
    <w:name w:val="toc 7"/>
    <w:basedOn w:val="835"/>
    <w:next w:val="835"/>
    <w:uiPriority w:val="39"/>
    <w:unhideWhenUsed/>
    <w:pPr>
      <w:ind w:left="1701" w:right="0" w:firstLine="0"/>
      <w:spacing w:after="57"/>
    </w:pPr>
  </w:style>
  <w:style w:type="paragraph" w:styleId="831">
    <w:name w:val="toc 8"/>
    <w:basedOn w:val="835"/>
    <w:next w:val="835"/>
    <w:uiPriority w:val="39"/>
    <w:unhideWhenUsed/>
    <w:pPr>
      <w:ind w:left="1984" w:right="0" w:firstLine="0"/>
      <w:spacing w:after="57"/>
    </w:pPr>
  </w:style>
  <w:style w:type="paragraph" w:styleId="832">
    <w:name w:val="toc 9"/>
    <w:basedOn w:val="835"/>
    <w:next w:val="835"/>
    <w:uiPriority w:val="39"/>
    <w:unhideWhenUsed/>
    <w:pPr>
      <w:ind w:left="2268" w:right="0" w:firstLine="0"/>
      <w:spacing w:after="57"/>
    </w:pPr>
  </w:style>
  <w:style w:type="paragraph" w:styleId="833">
    <w:name w:val="TOC Heading"/>
    <w:uiPriority w:val="39"/>
    <w:unhideWhenUsed/>
  </w:style>
  <w:style w:type="paragraph" w:styleId="834">
    <w:name w:val="table of figures"/>
    <w:basedOn w:val="835"/>
    <w:next w:val="835"/>
    <w:uiPriority w:val="99"/>
    <w:unhideWhenUsed/>
    <w:pPr>
      <w:spacing w:after="0" w:afterAutospacing="0"/>
    </w:pPr>
  </w:style>
  <w:style w:type="paragraph" w:styleId="835" w:default="1">
    <w:name w:val="Normal"/>
    <w:qFormat/>
  </w:style>
  <w:style w:type="character" w:styleId="836" w:default="1">
    <w:name w:val="Default Paragraph Font"/>
    <w:uiPriority w:val="1"/>
    <w:semiHidden/>
    <w:unhideWhenUsed/>
  </w:style>
  <w:style w:type="table" w:styleId="83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8" w:default="1">
    <w:name w:val="No List"/>
    <w:uiPriority w:val="99"/>
    <w:semiHidden/>
    <w:unhideWhenUsed/>
  </w:style>
  <w:style w:type="paragraph" w:styleId="839">
    <w:name w:val="List Paragraph"/>
    <w:basedOn w:val="835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hyperlink" Target="https://www.consultant.ru/document/cons_doc_LAW_480987/3a59a39e14eabf81c02ff86382a21810f46ad7d1/#dst100040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Жаравина Галина Евгеньевна</dc:creator>
  <cp:revision>9</cp:revision>
  <dcterms:created xsi:type="dcterms:W3CDTF">2024-09-25T08:43:00Z</dcterms:created>
  <dcterms:modified xsi:type="dcterms:W3CDTF">2025-03-03T09:39:30Z</dcterms:modified>
</cp:coreProperties>
</file>